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Sentinel Bold" w:cs="Sentinel Bold" w:eastAsia="Sentinel Bold" w:hAnsi="Sentinel Bold"/>
          <w:color w:val="ed8b00"/>
          <w:sz w:val="36"/>
          <w:szCs w:val="36"/>
        </w:rPr>
      </w:pPr>
      <w:r w:rsidDel="00000000" w:rsidR="00000000" w:rsidRPr="00000000">
        <w:rPr>
          <w:rFonts w:ascii="Sentinel Bold" w:cs="Sentinel Bold" w:eastAsia="Sentinel Bold" w:hAnsi="Sentinel Bold"/>
          <w:color w:val="ed8b00"/>
          <w:sz w:val="36"/>
          <w:szCs w:val="36"/>
          <w:rtl w:val="0"/>
        </w:rPr>
        <w:t xml:space="preserve">Landlord’s Consent</w:t>
      </w:r>
    </w:p>
    <w:p w:rsidR="00000000" w:rsidDel="00000000" w:rsidP="00000000" w:rsidRDefault="00000000" w:rsidRPr="00000000" w14:paraId="00000001">
      <w:pPr>
        <w:contextualSpacing w:val="0"/>
        <w:rPr>
          <w:color w:val="000000"/>
        </w:rPr>
      </w:pPr>
      <w:r w:rsidDel="00000000" w:rsidR="00000000" w:rsidRPr="00000000">
        <w:rPr>
          <w:rtl w:val="0"/>
        </w:rPr>
      </w:r>
    </w:p>
    <w:p w:rsidR="00000000" w:rsidDel="00000000" w:rsidP="00000000" w:rsidRDefault="00000000" w:rsidRPr="00000000" w14:paraId="00000002">
      <w:pPr>
        <w:contextualSpacing w:val="0"/>
        <w:rPr>
          <w:color w:val="000000"/>
        </w:rPr>
      </w:pPr>
      <w:r w:rsidDel="00000000" w:rsidR="00000000" w:rsidRPr="00000000">
        <w:rPr>
          <w:rtl w:val="0"/>
        </w:rPr>
      </w:r>
    </w:p>
    <w:p w:rsidR="00000000" w:rsidDel="00000000" w:rsidP="00000000" w:rsidRDefault="00000000" w:rsidRPr="00000000" w14:paraId="00000003">
      <w:pPr>
        <w:ind w:right="150"/>
        <w:contextualSpacing w:val="0"/>
        <w:rPr>
          <w:color w:val="000000"/>
          <w:sz w:val="22"/>
          <w:szCs w:val="22"/>
        </w:rPr>
      </w:pPr>
      <w:r w:rsidDel="00000000" w:rsidR="00000000" w:rsidRPr="00000000">
        <w:rPr>
          <w:color w:val="000000"/>
          <w:sz w:val="22"/>
          <w:szCs w:val="22"/>
          <w:rtl w:val="0"/>
        </w:rPr>
        <w:t xml:space="preserve">The undersigned, being the current landlord under the lease agreement identified as the "Head Lease" in the Mortgage of Lease (the "Mortgage") to which this Consent is attached, hereby consents to the Mortgage to ATB Financial ("ATB") as attached hereto.  The undersigned, reserving all rights in respect of future mortgages, assignments or subletting; confirms that the Head Lease and other documents are valid, subsisting and in good standing as at the date hereof and agrees:</w:t>
      </w:r>
    </w:p>
    <w:p w:rsidR="00000000" w:rsidDel="00000000" w:rsidP="00000000" w:rsidRDefault="00000000" w:rsidRPr="00000000" w14:paraId="00000004">
      <w:pPr>
        <w:ind w:right="150"/>
        <w:contextualSpacing w:val="0"/>
        <w:rPr>
          <w:color w:val="000000"/>
          <w:sz w:val="22"/>
          <w:szCs w:val="22"/>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50" w:hanging="360"/>
        <w:contextualSpacing w:val="1"/>
        <w:jc w:val="left"/>
        <w:rPr>
          <w:rFonts w:ascii="Sentinel Book" w:cs="Sentinel Book" w:eastAsia="Sentinel Book" w:hAnsi="Sentinel Book"/>
          <w:b w:val="0"/>
          <w:i w:val="0"/>
          <w:smallCaps w:val="0"/>
          <w:strike w:val="0"/>
          <w:color w:val="000000"/>
          <w:sz w:val="22"/>
          <w:szCs w:val="22"/>
          <w:u w:val="none"/>
          <w:shd w:fill="auto" w:val="clear"/>
          <w:vertAlign w:val="baseline"/>
        </w:rPr>
      </w:pPr>
      <w:r w:rsidDel="00000000" w:rsidR="00000000" w:rsidRPr="00000000">
        <w:rPr>
          <w:rFonts w:ascii="Sentinel Book" w:cs="Sentinel Book" w:eastAsia="Sentinel Book" w:hAnsi="Sentinel Book"/>
          <w:b w:val="0"/>
          <w:i w:val="0"/>
          <w:smallCaps w:val="0"/>
          <w:strike w:val="0"/>
          <w:color w:val="000000"/>
          <w:sz w:val="22"/>
          <w:szCs w:val="22"/>
          <w:u w:val="none"/>
          <w:shd w:fill="auto" w:val="clear"/>
          <w:vertAlign w:val="baseline"/>
          <w:rtl w:val="0"/>
        </w:rPr>
        <w:t xml:space="preserve">not to terminate the Head Lease without first advising ATB in writing of the default or breach of the tenant thereunder and giving ATB a reasonable opportunity to remedy any such default;</w:t>
      </w:r>
    </w:p>
    <w:p w:rsidR="00000000" w:rsidDel="00000000" w:rsidP="00000000" w:rsidRDefault="00000000" w:rsidRPr="00000000" w14:paraId="00000006">
      <w:pPr>
        <w:ind w:right="150"/>
        <w:contextualSpacing w:val="0"/>
        <w:rPr>
          <w:color w:val="000000"/>
          <w:sz w:val="22"/>
          <w:szCs w:val="22"/>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50" w:hanging="360"/>
        <w:contextualSpacing w:val="1"/>
        <w:jc w:val="left"/>
        <w:rPr>
          <w:rFonts w:ascii="Sentinel Book" w:cs="Sentinel Book" w:eastAsia="Sentinel Book" w:hAnsi="Sentinel Book"/>
          <w:b w:val="0"/>
          <w:i w:val="0"/>
          <w:smallCaps w:val="0"/>
          <w:strike w:val="0"/>
          <w:color w:val="000000"/>
          <w:sz w:val="22"/>
          <w:szCs w:val="22"/>
          <w:u w:val="none"/>
          <w:shd w:fill="auto" w:val="clear"/>
          <w:vertAlign w:val="baseline"/>
        </w:rPr>
      </w:pPr>
      <w:r w:rsidDel="00000000" w:rsidR="00000000" w:rsidRPr="00000000">
        <w:rPr>
          <w:rFonts w:ascii="Sentinel Book" w:cs="Sentinel Book" w:eastAsia="Sentinel Book" w:hAnsi="Sentinel Book"/>
          <w:b w:val="0"/>
          <w:i w:val="0"/>
          <w:smallCaps w:val="0"/>
          <w:strike w:val="0"/>
          <w:color w:val="000000"/>
          <w:sz w:val="22"/>
          <w:szCs w:val="22"/>
          <w:u w:val="none"/>
          <w:shd w:fill="auto" w:val="clear"/>
          <w:vertAlign w:val="baseline"/>
          <w:rtl w:val="0"/>
        </w:rPr>
        <w:t xml:space="preserve">to permit ATB to exercise its remedies and realize on its security as contemplated in the attached Mortgage and permitted by law, without hindrance by the undersigned;</w:t>
      </w:r>
    </w:p>
    <w:p w:rsidR="00000000" w:rsidDel="00000000" w:rsidP="00000000" w:rsidRDefault="00000000" w:rsidRPr="00000000" w14:paraId="00000008">
      <w:pPr>
        <w:ind w:right="150"/>
        <w:contextualSpacing w:val="0"/>
        <w:rPr>
          <w:color w:val="000000"/>
          <w:sz w:val="22"/>
          <w:szCs w:val="22"/>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50" w:hanging="360"/>
        <w:contextualSpacing w:val="1"/>
        <w:jc w:val="left"/>
        <w:rPr>
          <w:rFonts w:ascii="Sentinel Book" w:cs="Sentinel Book" w:eastAsia="Sentinel Book" w:hAnsi="Sentinel Book"/>
          <w:b w:val="0"/>
          <w:i w:val="0"/>
          <w:smallCaps w:val="0"/>
          <w:strike w:val="0"/>
          <w:color w:val="000000"/>
          <w:sz w:val="22"/>
          <w:szCs w:val="22"/>
          <w:u w:val="none"/>
          <w:shd w:fill="auto" w:val="clear"/>
          <w:vertAlign w:val="baseline"/>
        </w:rPr>
      </w:pPr>
      <w:r w:rsidDel="00000000" w:rsidR="00000000" w:rsidRPr="00000000">
        <w:rPr>
          <w:rFonts w:ascii="Sentinel Book" w:cs="Sentinel Book" w:eastAsia="Sentinel Book" w:hAnsi="Sentinel Book"/>
          <w:b w:val="0"/>
          <w:i w:val="0"/>
          <w:smallCaps w:val="0"/>
          <w:strike w:val="0"/>
          <w:color w:val="000000"/>
          <w:sz w:val="22"/>
          <w:szCs w:val="22"/>
          <w:u w:val="none"/>
          <w:shd w:fill="auto" w:val="clear"/>
          <w:vertAlign w:val="baseline"/>
          <w:rtl w:val="0"/>
        </w:rPr>
        <w:t xml:space="preserve">that should it become necessary for ATB to enter upon the leasehold premises described in the Head Lease, pursuant to the terms of the Mortgage, and to assign or sublet the Head Lease or part thereof, the undersigned will consent to the subletting of the said leasehold premises or the assignment or transfer of the Head Lease; and</w:t>
      </w:r>
    </w:p>
    <w:p w:rsidR="00000000" w:rsidDel="00000000" w:rsidP="00000000" w:rsidRDefault="00000000" w:rsidRPr="00000000" w14:paraId="0000000A">
      <w:pPr>
        <w:ind w:right="150"/>
        <w:contextualSpacing w:val="0"/>
        <w:rPr>
          <w:color w:val="000000"/>
          <w:sz w:val="22"/>
          <w:szCs w:val="22"/>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50" w:hanging="360"/>
        <w:contextualSpacing w:val="1"/>
        <w:jc w:val="left"/>
        <w:rPr>
          <w:rFonts w:ascii="Sentinel Book" w:cs="Sentinel Book" w:eastAsia="Sentinel Book" w:hAnsi="Sentinel Book"/>
          <w:b w:val="0"/>
          <w:i w:val="0"/>
          <w:smallCaps w:val="0"/>
          <w:strike w:val="0"/>
          <w:color w:val="000000"/>
          <w:sz w:val="22"/>
          <w:szCs w:val="22"/>
          <w:u w:val="none"/>
          <w:shd w:fill="auto" w:val="clear"/>
          <w:vertAlign w:val="baseline"/>
        </w:rPr>
      </w:pPr>
      <w:r w:rsidDel="00000000" w:rsidR="00000000" w:rsidRPr="00000000">
        <w:rPr>
          <w:rFonts w:ascii="Sentinel Book" w:cs="Sentinel Book" w:eastAsia="Sentinel Book" w:hAnsi="Sentinel Book"/>
          <w:b w:val="0"/>
          <w:i w:val="0"/>
          <w:smallCaps w:val="0"/>
          <w:strike w:val="0"/>
          <w:color w:val="000000"/>
          <w:sz w:val="22"/>
          <w:szCs w:val="22"/>
          <w:u w:val="none"/>
          <w:shd w:fill="auto" w:val="clear"/>
          <w:vertAlign w:val="baseline"/>
          <w:rtl w:val="0"/>
        </w:rPr>
        <w:t xml:space="preserve">unless and until ATB exercises its rights to take possession of the leasehold premises, nothing herein or in the Mortgage is to be construed as an obligation or covenant on the part of ATB to become liable to the undersigned for the payment of rent under the Head Lease or for the performance of covenants of the tenant contained therein;</w:t>
      </w:r>
    </w:p>
    <w:p w:rsidR="00000000" w:rsidDel="00000000" w:rsidP="00000000" w:rsidRDefault="00000000" w:rsidRPr="00000000" w14:paraId="0000000C">
      <w:pPr>
        <w:ind w:right="150"/>
        <w:contextualSpacing w:val="0"/>
        <w:rPr>
          <w:color w:val="000000"/>
          <w:sz w:val="22"/>
          <w:szCs w:val="22"/>
        </w:rPr>
      </w:pPr>
      <w:r w:rsidDel="00000000" w:rsidR="00000000" w:rsidRPr="00000000">
        <w:rPr>
          <w:rtl w:val="0"/>
        </w:rPr>
      </w:r>
    </w:p>
    <w:p w:rsidR="00000000" w:rsidDel="00000000" w:rsidP="00000000" w:rsidRDefault="00000000" w:rsidRPr="00000000" w14:paraId="0000000D">
      <w:pPr>
        <w:ind w:right="150"/>
        <w:contextualSpacing w:val="0"/>
        <w:rPr>
          <w:color w:val="000000"/>
          <w:sz w:val="22"/>
          <w:szCs w:val="22"/>
        </w:rPr>
      </w:pPr>
      <w:r w:rsidDel="00000000" w:rsidR="00000000" w:rsidRPr="00000000">
        <w:rPr>
          <w:color w:val="000000"/>
          <w:sz w:val="22"/>
          <w:szCs w:val="22"/>
          <w:rtl w:val="0"/>
        </w:rPr>
        <w:t xml:space="preserve">provided that nothing herein will limit in any manner whatsoever the rights which the undersigned has or may have against the tenant under the Head Lease.</w:t>
      </w:r>
    </w:p>
    <w:p w:rsidR="00000000" w:rsidDel="00000000" w:rsidP="00000000" w:rsidRDefault="00000000" w:rsidRPr="00000000" w14:paraId="0000000E">
      <w:pPr>
        <w:ind w:right="150"/>
        <w:contextualSpacing w:val="0"/>
        <w:rPr>
          <w:color w:val="000000"/>
          <w:sz w:val="22"/>
          <w:szCs w:val="22"/>
        </w:rPr>
      </w:pPr>
      <w:r w:rsidDel="00000000" w:rsidR="00000000" w:rsidRPr="00000000">
        <w:rPr>
          <w:rtl w:val="0"/>
        </w:rPr>
      </w:r>
    </w:p>
    <w:p w:rsidR="00000000" w:rsidDel="00000000" w:rsidP="00000000" w:rsidRDefault="00000000" w:rsidRPr="00000000" w14:paraId="0000000F">
      <w:pPr>
        <w:ind w:right="150"/>
        <w:contextualSpacing w:val="0"/>
        <w:rPr>
          <w:color w:val="000000"/>
          <w:sz w:val="22"/>
          <w:szCs w:val="22"/>
        </w:rPr>
      </w:pPr>
      <w:r w:rsidDel="00000000" w:rsidR="00000000" w:rsidRPr="00000000">
        <w:rPr>
          <w:color w:val="000000"/>
          <w:sz w:val="22"/>
          <w:szCs w:val="22"/>
          <w:rtl w:val="0"/>
        </w:rPr>
        <w:t xml:space="preserve">This Landlord’s Consent may be executed electronically; this Landlord’s Consent may be delivered by email, facsimile or other functionally-equivalent means.</w:t>
      </w:r>
    </w:p>
    <w:p w:rsidR="00000000" w:rsidDel="00000000" w:rsidP="00000000" w:rsidRDefault="00000000" w:rsidRPr="00000000" w14:paraId="00000010">
      <w:pPr>
        <w:ind w:right="150"/>
        <w:contextualSpacing w:val="0"/>
        <w:rPr>
          <w:color w:val="000000"/>
          <w:sz w:val="22"/>
          <w:szCs w:val="22"/>
        </w:rPr>
      </w:pPr>
      <w:r w:rsidDel="00000000" w:rsidR="00000000" w:rsidRPr="00000000">
        <w:rPr>
          <w:rtl w:val="0"/>
        </w:rPr>
      </w:r>
    </w:p>
    <w:p w:rsidR="00000000" w:rsidDel="00000000" w:rsidP="00000000" w:rsidRDefault="00000000" w:rsidRPr="00000000" w14:paraId="00000011">
      <w:pPr>
        <w:ind w:right="150"/>
        <w:contextualSpacing w:val="0"/>
        <w:rPr>
          <w:color w:val="000000"/>
          <w:sz w:val="22"/>
          <w:szCs w:val="22"/>
        </w:rPr>
      </w:pPr>
      <w:bookmarkStart w:colFirst="0" w:colLast="0" w:name="_30j0zll" w:id="1"/>
      <w:bookmarkEnd w:id="1"/>
      <w:r w:rsidDel="00000000" w:rsidR="00000000" w:rsidRPr="00000000">
        <w:rPr>
          <w:color w:val="000000"/>
          <w:sz w:val="22"/>
          <w:szCs w:val="22"/>
          <w:rtl w:val="0"/>
        </w:rPr>
        <w:t xml:space="preserve">Dated at </w:t>
      </w:r>
      <w:bookmarkStart w:colFirst="0" w:colLast="0" w:name="gjdgxs" w:id="0"/>
      <w:bookmarkEnd w:id="0"/>
      <w:r w:rsidDel="00000000" w:rsidR="00000000" w:rsidRPr="00000000">
        <w:rPr>
          <w:color w:val="000000"/>
          <w:sz w:val="22"/>
          <w:szCs w:val="22"/>
          <w:rtl w:val="0"/>
        </w:rPr>
        <w:t xml:space="preserve">city or town, Alberta, this date day of month, year.</w:t>
      </w:r>
    </w:p>
    <w:p w:rsidR="00000000" w:rsidDel="00000000" w:rsidP="00000000" w:rsidRDefault="00000000" w:rsidRPr="00000000" w14:paraId="00000012">
      <w:pPr>
        <w:ind w:right="150"/>
        <w:contextualSpacing w:val="0"/>
        <w:rPr>
          <w:color w:val="000000"/>
          <w:sz w:val="22"/>
          <w:szCs w:val="22"/>
        </w:rPr>
      </w:pPr>
      <w:r w:rsidDel="00000000" w:rsidR="00000000" w:rsidRPr="00000000">
        <w:rPr>
          <w:rtl w:val="0"/>
        </w:rPr>
      </w:r>
    </w:p>
    <w:p w:rsidR="00000000" w:rsidDel="00000000" w:rsidP="00000000" w:rsidRDefault="00000000" w:rsidRPr="00000000" w14:paraId="00000013">
      <w:pPr>
        <w:ind w:right="150"/>
        <w:contextualSpacing w:val="0"/>
        <w:rPr>
          <w:color w:val="000000"/>
          <w:sz w:val="22"/>
          <w:szCs w:val="22"/>
        </w:rPr>
      </w:pPr>
      <w:r w:rsidDel="00000000" w:rsidR="00000000" w:rsidRPr="00000000">
        <w:rPr>
          <w:rtl w:val="0"/>
        </w:rPr>
      </w:r>
    </w:p>
    <w:p w:rsidR="00000000" w:rsidDel="00000000" w:rsidP="00000000" w:rsidRDefault="00000000" w:rsidRPr="00000000" w14:paraId="00000014">
      <w:pPr>
        <w:ind w:right="150"/>
        <w:contextualSpacing w:val="0"/>
        <w:rPr>
          <w:color w:val="000000"/>
          <w:sz w:val="22"/>
          <w:szCs w:val="22"/>
        </w:rPr>
      </w:pPr>
      <w:r w:rsidDel="00000000" w:rsidR="00000000" w:rsidRPr="00000000">
        <w:rPr>
          <w:rtl w:val="0"/>
        </w:rPr>
      </w:r>
    </w:p>
    <w:p w:rsidR="00000000" w:rsidDel="00000000" w:rsidP="00000000" w:rsidRDefault="00000000" w:rsidRPr="00000000" w14:paraId="00000015">
      <w:pPr>
        <w:ind w:right="150"/>
        <w:contextualSpacing w:val="0"/>
        <w:rPr>
          <w:color w:val="000000"/>
          <w:sz w:val="22"/>
          <w:szCs w:val="22"/>
        </w:rPr>
      </w:pPr>
      <w:r w:rsidDel="00000000" w:rsidR="00000000" w:rsidRPr="00000000">
        <w:rPr>
          <w:color w:val="000000"/>
          <w:sz w:val="22"/>
          <w:szCs w:val="22"/>
          <w:rtl w:val="0"/>
        </w:rPr>
        <w:t xml:space="preserve">______________________________________</w:t>
        <w:tab/>
        <w:t xml:space="preserve">Per: </w:t>
        <w:tab/>
        <w:t xml:space="preserve">______________________________________</w:t>
      </w:r>
    </w:p>
    <w:p w:rsidR="00000000" w:rsidDel="00000000" w:rsidP="00000000" w:rsidRDefault="00000000" w:rsidRPr="00000000" w14:paraId="00000016">
      <w:pPr>
        <w:ind w:right="150"/>
        <w:contextualSpacing w:val="0"/>
        <w:rPr>
          <w:color w:val="000000"/>
          <w:sz w:val="22"/>
          <w:szCs w:val="22"/>
        </w:rPr>
      </w:pPr>
      <w:r w:rsidDel="00000000" w:rsidR="00000000" w:rsidRPr="00000000">
        <w:rPr>
          <w:color w:val="000000"/>
          <w:sz w:val="22"/>
          <w:szCs w:val="22"/>
          <w:rtl w:val="0"/>
        </w:rPr>
        <w:t xml:space="preserve">Witness: </w:t>
      </w:r>
      <w:bookmarkStart w:colFirst="0" w:colLast="0" w:name="1fob9te" w:id="2"/>
      <w:bookmarkEnd w:id="2"/>
      <w:r w:rsidDel="00000000" w:rsidR="00000000" w:rsidRPr="00000000">
        <w:rPr>
          <w:color w:val="000000"/>
          <w:sz w:val="22"/>
          <w:szCs w:val="22"/>
          <w:rtl w:val="0"/>
        </w:rPr>
        <w:t xml:space="preserve">witness name</w:t>
        <w:tab/>
        <w:tab/>
        <w:tab/>
        <w:tab/>
        <w:tab/>
        <w:t xml:space="preserve">Authorized Signature</w:t>
      </w:r>
    </w:p>
    <w:p w:rsidR="00000000" w:rsidDel="00000000" w:rsidP="00000000" w:rsidRDefault="00000000" w:rsidRPr="00000000" w14:paraId="00000017">
      <w:pPr>
        <w:ind w:right="150"/>
        <w:contextualSpacing w:val="0"/>
        <w:rPr>
          <w:color w:val="000000"/>
          <w:sz w:val="22"/>
          <w:szCs w:val="22"/>
        </w:rPr>
      </w:pPr>
      <w:r w:rsidDel="00000000" w:rsidR="00000000" w:rsidRPr="00000000">
        <w:rPr>
          <w:rtl w:val="0"/>
        </w:rPr>
      </w:r>
    </w:p>
    <w:p w:rsidR="00000000" w:rsidDel="00000000" w:rsidP="00000000" w:rsidRDefault="00000000" w:rsidRPr="00000000" w14:paraId="00000018">
      <w:pPr>
        <w:ind w:right="150"/>
        <w:contextualSpacing w:val="0"/>
        <w:rPr>
          <w:sz w:val="22"/>
          <w:szCs w:val="22"/>
        </w:rPr>
      </w:pPr>
      <w:r w:rsidDel="00000000" w:rsidR="00000000" w:rsidRPr="00000000">
        <w:rPr>
          <w:rtl w:val="0"/>
        </w:rPr>
      </w:r>
    </w:p>
    <w:sectPr>
      <w:headerReference r:id="rId6" w:type="default"/>
      <w:headerReference r:id="rId7" w:type="first"/>
      <w:headerReference r:id="rId8" w:type="even"/>
      <w:footerReference r:id="rId9" w:type="default"/>
      <w:pgSz w:h="15840" w:w="12240"/>
      <w:pgMar w:bottom="2268" w:top="1871" w:left="1077" w:right="1985"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Sentinel Bold"/>
  <w:font w:name="Sentinel Semibold"/>
  <w:font w:name="Sentinel Book"/>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entinel Semibold Ital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Sentinel Book" w:cs="Sentinel Book" w:eastAsia="Sentinel Book" w:hAnsi="Sentinel Book"/>
        <w:b w:val="0"/>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0"/>
        <w:i w:val="0"/>
        <w:smallCaps w:val="0"/>
        <w:strike w:val="0"/>
        <w:color w:val="000000"/>
        <w:sz w:val="12"/>
        <w:szCs w:val="12"/>
        <w:u w:val="none"/>
        <w:shd w:fill="auto" w:val="clear"/>
        <w:vertAlign w:val="baseline"/>
        <w:rtl w:val="0"/>
      </w:rPr>
      <w:tab/>
      <w:tab/>
      <w:tab/>
      <w:tab/>
      <w:tab/>
      <w:tab/>
      <w:t xml:space="preserve">Page </w:t>
    </w:r>
    <w:r w:rsidDel="00000000" w:rsidR="00000000" w:rsidRPr="00000000">
      <w:rPr>
        <w:rFonts w:ascii="PT Sans" w:cs="PT Sans" w:eastAsia="PT Sans" w:hAnsi="PT Sans"/>
        <w:b w:val="0"/>
        <w:i w:val="0"/>
        <w:smallCaps w:val="0"/>
        <w:strike w:val="0"/>
        <w:color w:val="000000"/>
        <w:sz w:val="12"/>
        <w:szCs w:val="12"/>
        <w:u w:val="none"/>
        <w:shd w:fill="auto" w:val="clear"/>
        <w:vertAlign w:val="baseline"/>
      </w:rPr>
      <w:fldChar w:fldCharType="begin"/>
      <w:instrText xml:space="preserve">PAGE</w:instrText>
      <w:fldChar w:fldCharType="separate"/>
      <w:fldChar w:fldCharType="end"/>
    </w:r>
    <w:r w:rsidDel="00000000" w:rsidR="00000000" w:rsidRPr="00000000">
      <w:rPr>
        <w:rFonts w:ascii="PT Sans" w:cs="PT Sans" w:eastAsia="PT Sans" w:hAnsi="PT Sans"/>
        <w:b w:val="0"/>
        <w:i w:val="0"/>
        <w:smallCaps w:val="0"/>
        <w:strike w:val="0"/>
        <w:color w:val="000000"/>
        <w:sz w:val="12"/>
        <w:szCs w:val="12"/>
        <w:u w:val="none"/>
        <w:shd w:fill="auto" w:val="clear"/>
        <w:vertAlign w:val="baseline"/>
        <w:rtl w:val="0"/>
      </w:rPr>
      <w:t xml:space="preserve"> of </w:t>
    </w:r>
    <w:r w:rsidDel="00000000" w:rsidR="00000000" w:rsidRPr="00000000">
      <w:rPr>
        <w:rFonts w:ascii="PT Sans" w:cs="PT Sans" w:eastAsia="PT Sans" w:hAnsi="PT Sans"/>
        <w:b w:val="0"/>
        <w:i w:val="0"/>
        <w:smallCaps w:val="0"/>
        <w:strike w:val="0"/>
        <w:color w:val="000000"/>
        <w:sz w:val="12"/>
        <w:szCs w:val="12"/>
        <w:u w:val="none"/>
        <w:shd w:fill="auto" w:val="clear"/>
        <w:vertAlign w:val="baseline"/>
      </w:rPr>
      <w:fldChar w:fldCharType="begin"/>
      <w:instrText xml:space="preserve">NUMPAGES</w:instrText>
      <w:fldChar w:fldCharType="separate"/>
      <w:fldChar w:fldCharType="end"/>
    </w:r>
    <w:r w:rsidDel="00000000" w:rsidR="00000000" w:rsidRPr="00000000">
      <w:rPr>
        <w:rFonts w:ascii="PT Sans" w:cs="PT Sans" w:eastAsia="PT Sans" w:hAnsi="PT Sans"/>
        <w:b w:val="0"/>
        <w:i w:val="0"/>
        <w:smallCaps w:val="0"/>
        <w:strike w:val="0"/>
        <w:color w:val="000000"/>
        <w:sz w:val="12"/>
        <w:szCs w:val="12"/>
        <w:u w:val="none"/>
        <w:shd w:fill="auto" w:val="clear"/>
        <w:vertAlign w:val="baseline"/>
        <w:rtl w:val="0"/>
      </w:rPr>
      <w:tab/>
      <w:tab/>
      <w:tab/>
      <w:tab/>
      <w:t xml:space="preserve">Form 3239 (Rev. 01/18)</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Sentinel Book" w:cs="Sentinel Book" w:eastAsia="Sentinel Book" w:hAnsi="Sentinel Book"/>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Sentinel Book" w:cs="Sentinel Book" w:eastAsia="Sentinel Book" w:hAnsi="Sentinel Book"/>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Sentinel Book" w:cs="Sentinel Book" w:eastAsia="Sentinel Book" w:hAnsi="Sentinel Book"/>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Sentinel Book" w:cs="Sentinel Book" w:eastAsia="Sentinel Book" w:hAnsi="Sentinel Book"/>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entinel Book" w:cs="Sentinel Book" w:eastAsia="Sentinel Book" w:hAnsi="Sentinel Book"/>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Sentinel Bold" w:cs="Sentinel Bold" w:eastAsia="Sentinel Bold" w:hAnsi="Sentinel Bold"/>
      <w:color w:val="ed8b00"/>
      <w:sz w:val="36"/>
      <w:szCs w:val="36"/>
    </w:rPr>
  </w:style>
  <w:style w:type="paragraph" w:styleId="Heading2">
    <w:name w:val="heading 2"/>
    <w:basedOn w:val="Normal"/>
    <w:next w:val="Normal"/>
    <w:pPr>
      <w:keepNext w:val="1"/>
      <w:keepLines w:val="1"/>
      <w:spacing w:before="200" w:lineRule="auto"/>
    </w:pPr>
    <w:rPr>
      <w:rFonts w:ascii="Sentinel Semibold" w:cs="Sentinel Semibold" w:eastAsia="Sentinel Semibold" w:hAnsi="Sentinel Semibol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contextualSpacing w:val="1"/>
    </w:pPr>
    <w:rPr>
      <w:rFonts w:ascii="Sentinel Bold" w:cs="Sentinel Bold" w:eastAsia="Sentinel Bold" w:hAnsi="Sentinel Bold"/>
      <w:color w:val="ed8b00"/>
      <w:sz w:val="52"/>
      <w:szCs w:val="52"/>
    </w:rPr>
  </w:style>
  <w:style w:type="paragraph" w:styleId="Subtitle">
    <w:name w:val="Subtitle"/>
    <w:basedOn w:val="Normal"/>
    <w:next w:val="Normal"/>
    <w:pPr/>
    <w:rPr>
      <w:rFonts w:ascii="Sentinel Semibold Italic" w:cs="Sentinel Semibold Italic" w:eastAsia="Sentinel Semibold Italic" w:hAnsi="Sentinel Semibold Italic"/>
      <w:color w:val="005eb8"/>
    </w:rPr>
  </w:style>
</w:style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customXml" Target="../customXml/item1.xml"/><Relationship Id="rId4" Type="http://schemas.openxmlformats.org/officeDocument/2006/relationships/numbering" Target="numbering.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09ACB8FE4F9D489243D20D0317BC6D" ma:contentTypeVersion="3" ma:contentTypeDescription="Create a new document." ma:contentTypeScope="" ma:versionID="7941ccdef9ea5f4a79f0e79b30ac7482">
  <xsd:schema xmlns:xsd="http://www.w3.org/2001/XMLSchema" xmlns:xs="http://www.w3.org/2001/XMLSchema" xmlns:p="http://schemas.microsoft.com/office/2006/metadata/properties" xmlns:ns2="e6b4c088-588b-4466-a064-d4c88ebbcf98" targetNamespace="http://schemas.microsoft.com/office/2006/metadata/properties" ma:root="true" ma:fieldsID="a72d64c57b2c950dd4da25c27f1127a6" ns2:_="">
    <xsd:import namespace="e6b4c088-588b-4466-a064-d4c88ebbcf98"/>
    <xsd:element name="properties">
      <xsd:complexType>
        <xsd:sequence>
          <xsd:element name="documentManagement">
            <xsd:complexType>
              <xsd:all>
                <xsd:element ref="ns2:n2ded5b3984d4a05b132a1e30920a26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4c088-588b-4466-a064-d4c88ebbcf98" elementFormDefault="qualified">
    <xsd:import namespace="http://schemas.microsoft.com/office/2006/documentManagement/types"/>
    <xsd:import namespace="http://schemas.microsoft.com/office/infopath/2007/PartnerControls"/>
    <xsd:element name="n2ded5b3984d4a05b132a1e30920a265" ma:index="9" nillable="true" ma:taxonomy="true" ma:internalName="n2ded5b3984d4a05b132a1e30920a265" ma:taxonomyFieldName="MetaTag" ma:displayName="MetaTag" ma:default="" ma:fieldId="{72ded5b3-984d-4a05-b132-a1e30920a265}" ma:taxonomyMulti="true" ma:sspId="ba1616d2-34b7-44a2-99d8-239ce57c8c37" ma:termSetId="22400033-a9fb-4d5d-8be5-bfab93ae7ff6"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91a1f561-93c9-4bee-9f78-8236b25e8ad5}" ma:internalName="TaxCatchAll" ma:showField="CatchAllData" ma:web="e6b4c088-588b-4466-a064-d4c88ebbcf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2ded5b3984d4a05b132a1e30920a265 xmlns="e6b4c088-588b-4466-a064-d4c88ebbcf98">
      <Terms xmlns="http://schemas.microsoft.com/office/infopath/2007/PartnerControls">
        <TermInfo xmlns="http://schemas.microsoft.com/office/infopath/2007/PartnerControls">
          <TermName xmlns="http://schemas.microsoft.com/office/infopath/2007/PartnerControls">Miscellaneous</TermName>
          <TermId xmlns="http://schemas.microsoft.com/office/infopath/2007/PartnerControls">ae98edc7-9225-4df9-93b8-57378d4cadc6</TermId>
        </TermInfo>
      </Terms>
    </n2ded5b3984d4a05b132a1e30920a265>
    <TaxCatchAll xmlns="e6b4c088-588b-4466-a064-d4c88ebbcf98">
      <Value>60</Value>
    </TaxCatchAll>
  </documentManagement>
</p:properties>
</file>

<file path=customXml/itemProps1.xml><?xml version="1.0" encoding="utf-8"?>
<ds:datastoreItem xmlns:ds="http://schemas.openxmlformats.org/officeDocument/2006/customXml" ds:itemID="{4CEA36BC-34B5-4EA6-B99C-39F1B9F9EBC6}"/>
</file>

<file path=customXml/itemProps2.xml><?xml version="1.0" encoding="utf-8"?>
<ds:datastoreItem xmlns:ds="http://schemas.openxmlformats.org/officeDocument/2006/customXml" ds:itemID="{4928C3F6-919D-467E-97FC-BC8B82960C43}"/>
</file>

<file path=customXml/itemProps3.xml><?xml version="1.0" encoding="utf-8"?>
<ds:datastoreItem xmlns:ds="http://schemas.openxmlformats.org/officeDocument/2006/customXml" ds:itemID="{1F0623ED-A2DD-40F0-B485-D327F3B5F4C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3239 Form - Landlord's Consent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BResourceType">
    <vt:lpwstr>7;#Template|97c8db43-79e6-44c9-9f37-73d30c0f5481</vt:lpwstr>
  </property>
  <property fmtid="{D5CDD505-2E9C-101B-9397-08002B2CF9AE}" pid="3" name="ATBAOESSUTeam">
    <vt:lpwstr>19;#Account Officer|f2ce0d93-9ce7-4f46-8c90-9f3d71ba0d27;#24;#Relationship Manager|0308023a-588e-4818-9bf3-32890c9a03ca;#37;#Manager, Entrepreneurship|b9479907-bc74-49dd-af29-f94cc5892d42;#174;#Director|bbc4bc0c-d6b9-4344-9313-7589f0fc4197</vt:lpwstr>
  </property>
  <property fmtid="{D5CDD505-2E9C-101B-9397-08002B2CF9AE}" pid="4" name="ATBResourceTopic">
    <vt:lpwstr/>
  </property>
  <property fmtid="{D5CDD505-2E9C-101B-9397-08002B2CF9AE}" pid="5" name="ContentTypeId">
    <vt:lpwstr>0x0101006309ACB8FE4F9D489243D20D0317BC6D</vt:lpwstr>
  </property>
  <property fmtid="{D5CDD505-2E9C-101B-9397-08002B2CF9AE}" pid="6" name="MetaTag">
    <vt:lpwstr>60;#Miscellaneous|ae98edc7-9225-4df9-93b8-57378d4cadc6</vt:lpwstr>
  </property>
  <property fmtid="{D5CDD505-2E9C-101B-9397-08002B2CF9AE}" pid="7" name="ATBAOESSU">
    <vt:lpwstr>18;#Business ＆ Agriculture|c016ff49-7973-4378-9330-8347ae2c881d</vt:lpwstr>
  </property>
</Properties>
</file>